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84404" w14:textId="4FD60540" w:rsidR="00417867" w:rsidRPr="00417867" w:rsidRDefault="00417867" w:rsidP="00417867">
      <w:pPr>
        <w:widowControl w:val="0"/>
        <w:autoSpaceDE w:val="0"/>
        <w:autoSpaceDN w:val="0"/>
        <w:spacing w:before="265" w:after="0" w:line="240" w:lineRule="auto"/>
        <w:ind w:left="120"/>
        <w:outlineLvl w:val="0"/>
        <w:rPr>
          <w:rFonts w:ascii="SerifaMed" w:eastAsia="SerifaMed" w:hAnsi="SerifaMed" w:cs="SerifaMed"/>
          <w:sz w:val="28"/>
          <w:szCs w:val="28"/>
        </w:rPr>
      </w:pPr>
      <w:r w:rsidRPr="00417867">
        <w:rPr>
          <w:rFonts w:ascii="SerifaMed" w:eastAsia="SerifaMed" w:hAnsi="SerifaMed" w:cs="SerifaMed"/>
          <w:color w:val="231F20"/>
          <w:sz w:val="28"/>
          <w:szCs w:val="28"/>
        </w:rPr>
        <w:t xml:space="preserve">Appendix </w:t>
      </w:r>
      <w:r w:rsidR="00853045">
        <w:rPr>
          <w:rFonts w:ascii="SerifaMed" w:eastAsia="SerifaMed" w:hAnsi="SerifaMed" w:cs="SerifaMed"/>
          <w:color w:val="231F20"/>
          <w:sz w:val="28"/>
          <w:szCs w:val="28"/>
        </w:rPr>
        <w:t>B</w:t>
      </w:r>
      <w:r w:rsidRPr="00417867">
        <w:rPr>
          <w:rFonts w:ascii="SerifaMed" w:eastAsia="SerifaMed" w:hAnsi="SerifaMed" w:cs="SerifaMed"/>
          <w:color w:val="231F20"/>
          <w:sz w:val="28"/>
          <w:szCs w:val="28"/>
        </w:rPr>
        <w:t>1</w:t>
      </w:r>
    </w:p>
    <w:p w14:paraId="50B62BB6" w14:textId="77777777" w:rsidR="00417867" w:rsidRPr="00417867" w:rsidRDefault="00417867" w:rsidP="00417867">
      <w:pPr>
        <w:widowControl w:val="0"/>
        <w:autoSpaceDE w:val="0"/>
        <w:autoSpaceDN w:val="0"/>
        <w:spacing w:before="9" w:after="0" w:line="240" w:lineRule="auto"/>
        <w:rPr>
          <w:rFonts w:ascii="SerifaMed" w:eastAsia="Univers LT Pro 55" w:hAnsi="Univers LT Pro 55" w:cs="Univers LT Pro 55"/>
          <w:sz w:val="32"/>
        </w:rPr>
      </w:pPr>
    </w:p>
    <w:p w14:paraId="77B7D249" w14:textId="77777777" w:rsidR="00417867" w:rsidRPr="00FB002F" w:rsidRDefault="00417867" w:rsidP="00417867">
      <w:pPr>
        <w:widowControl w:val="0"/>
        <w:autoSpaceDE w:val="0"/>
        <w:autoSpaceDN w:val="0"/>
        <w:spacing w:after="0" w:line="276" w:lineRule="auto"/>
        <w:ind w:left="120" w:right="7970"/>
        <w:outlineLvl w:val="2"/>
        <w:rPr>
          <w:rFonts w:eastAsia="Univers LT Pro 45 Light" w:cstheme="minorHAnsi"/>
          <w:b/>
          <w:bCs/>
          <w:color w:val="231F20"/>
        </w:rPr>
      </w:pPr>
      <w:r w:rsidRPr="00FB002F">
        <w:rPr>
          <w:rFonts w:eastAsia="Univers LT Pro 45 Light" w:cstheme="minorHAnsi"/>
          <w:b/>
          <w:bCs/>
          <w:color w:val="231F20"/>
        </w:rPr>
        <w:t>Name</w:t>
      </w:r>
      <w:r w:rsidRPr="00FB002F">
        <w:rPr>
          <w:rFonts w:eastAsia="Univers LT Pro 45 Light" w:cstheme="minorHAnsi"/>
          <w:b/>
          <w:bCs/>
          <w:color w:val="231F20"/>
          <w:spacing w:val="-10"/>
        </w:rPr>
        <w:t xml:space="preserve"> </w:t>
      </w:r>
      <w:r w:rsidRPr="00FB002F">
        <w:rPr>
          <w:rFonts w:eastAsia="Univers LT Pro 45 Light" w:cstheme="minorHAnsi"/>
          <w:b/>
          <w:bCs/>
          <w:color w:val="231F20"/>
        </w:rPr>
        <w:t>of</w:t>
      </w:r>
      <w:r w:rsidRPr="00FB002F">
        <w:rPr>
          <w:rFonts w:eastAsia="Univers LT Pro 45 Light" w:cstheme="minorHAnsi"/>
          <w:b/>
          <w:bCs/>
          <w:color w:val="231F20"/>
          <w:spacing w:val="-10"/>
        </w:rPr>
        <w:t xml:space="preserve"> </w:t>
      </w:r>
      <w:r w:rsidRPr="00FB002F">
        <w:rPr>
          <w:rFonts w:eastAsia="Univers LT Pro 45 Light" w:cstheme="minorHAnsi"/>
          <w:b/>
          <w:bCs/>
          <w:color w:val="231F20"/>
        </w:rPr>
        <w:t>Subgrant</w:t>
      </w:r>
      <w:r w:rsidRPr="00FB002F">
        <w:rPr>
          <w:rFonts w:eastAsia="Univers LT Pro 45 Light" w:cstheme="minorHAnsi"/>
          <w:b/>
          <w:bCs/>
          <w:color w:val="231F20"/>
          <w:spacing w:val="-9"/>
        </w:rPr>
        <w:t xml:space="preserve"> </w:t>
      </w:r>
      <w:r w:rsidRPr="00FB002F">
        <w:rPr>
          <w:rFonts w:eastAsia="Univers LT Pro 45 Light" w:cstheme="minorHAnsi"/>
          <w:b/>
          <w:bCs/>
          <w:color w:val="231F20"/>
        </w:rPr>
        <w:t xml:space="preserve">Program: Reproductive Health and Wellness </w:t>
      </w:r>
    </w:p>
    <w:p w14:paraId="620B2D4F" w14:textId="7AD1AEE9" w:rsidR="00417867" w:rsidRPr="00FB002F" w:rsidRDefault="00417867" w:rsidP="00417867">
      <w:pPr>
        <w:widowControl w:val="0"/>
        <w:autoSpaceDE w:val="0"/>
        <w:autoSpaceDN w:val="0"/>
        <w:spacing w:after="0" w:line="276" w:lineRule="auto"/>
        <w:ind w:left="120" w:right="7970"/>
        <w:outlineLvl w:val="2"/>
        <w:rPr>
          <w:rFonts w:eastAsia="Univers LT Pro 45 Light" w:cstheme="minorHAnsi"/>
          <w:b/>
          <w:bCs/>
        </w:rPr>
      </w:pPr>
      <w:r w:rsidRPr="00FB002F">
        <w:rPr>
          <w:rFonts w:eastAsia="Univers LT Pro 45 Light" w:cstheme="minorHAnsi"/>
          <w:b/>
          <w:bCs/>
          <w:color w:val="231F20"/>
          <w:spacing w:val="-59"/>
        </w:rPr>
        <w:t xml:space="preserve"> </w:t>
      </w:r>
      <w:r w:rsidRPr="00FB002F">
        <w:rPr>
          <w:rFonts w:eastAsia="Univers LT Pro 45 Light" w:cstheme="minorHAnsi"/>
          <w:b/>
          <w:bCs/>
          <w:color w:val="231F20"/>
        </w:rPr>
        <w:t>Budget</w:t>
      </w:r>
      <w:r w:rsidRPr="00FB002F">
        <w:rPr>
          <w:rFonts w:eastAsia="Univers LT Pro 45 Light" w:cstheme="minorHAnsi"/>
          <w:b/>
          <w:bCs/>
          <w:color w:val="231F20"/>
          <w:spacing w:val="-1"/>
        </w:rPr>
        <w:t xml:space="preserve"> </w:t>
      </w:r>
      <w:r w:rsidRPr="00FB002F">
        <w:rPr>
          <w:rFonts w:eastAsia="Univers LT Pro 45 Light" w:cstheme="minorHAnsi"/>
          <w:b/>
          <w:bCs/>
          <w:color w:val="231F20"/>
        </w:rPr>
        <w:t>Period: April 1, 202</w:t>
      </w:r>
      <w:r w:rsidR="00853045" w:rsidRPr="00FB002F">
        <w:rPr>
          <w:rFonts w:eastAsia="Univers LT Pro 45 Light" w:cstheme="minorHAnsi"/>
          <w:b/>
          <w:bCs/>
          <w:color w:val="231F20"/>
        </w:rPr>
        <w:t>3</w:t>
      </w:r>
      <w:r w:rsidRPr="00FB002F">
        <w:rPr>
          <w:rFonts w:eastAsia="Univers LT Pro 45 Light" w:cstheme="minorHAnsi"/>
          <w:b/>
          <w:bCs/>
          <w:color w:val="231F20"/>
        </w:rPr>
        <w:t xml:space="preserve"> – </w:t>
      </w:r>
      <w:r w:rsidR="00FB002F">
        <w:rPr>
          <w:rFonts w:eastAsia="Univers LT Pro 45 Light" w:cstheme="minorHAnsi"/>
          <w:b/>
          <w:bCs/>
          <w:color w:val="231F20"/>
        </w:rPr>
        <w:t>M</w:t>
      </w:r>
      <w:r w:rsidRPr="00FB002F">
        <w:rPr>
          <w:rFonts w:eastAsia="Univers LT Pro 45 Light" w:cstheme="minorHAnsi"/>
          <w:b/>
          <w:bCs/>
          <w:color w:val="231F20"/>
        </w:rPr>
        <w:t>arch 31, 202</w:t>
      </w:r>
      <w:r w:rsidR="00853045" w:rsidRPr="00FB002F">
        <w:rPr>
          <w:rFonts w:eastAsia="Univers LT Pro 45 Light" w:cstheme="minorHAnsi"/>
          <w:b/>
          <w:bCs/>
          <w:color w:val="231F20"/>
        </w:rPr>
        <w:t>4</w:t>
      </w:r>
    </w:p>
    <w:p w14:paraId="61D61407" w14:textId="6DF7F528" w:rsidR="00417867" w:rsidRPr="00FB002F" w:rsidRDefault="00417867" w:rsidP="00417867">
      <w:pPr>
        <w:widowControl w:val="0"/>
        <w:autoSpaceDE w:val="0"/>
        <w:autoSpaceDN w:val="0"/>
        <w:spacing w:after="0" w:line="260" w:lineRule="exact"/>
        <w:ind w:left="120"/>
        <w:rPr>
          <w:rFonts w:eastAsia="Univers LT Pro 55" w:cstheme="minorHAnsi"/>
          <w:b/>
        </w:rPr>
      </w:pPr>
      <w:r w:rsidRPr="00FB002F">
        <w:rPr>
          <w:rFonts w:eastAsia="Univers LT Pro 55" w:cstheme="minorHAnsi"/>
          <w:b/>
          <w:color w:val="231F20"/>
        </w:rPr>
        <w:t>#</w:t>
      </w:r>
      <w:r w:rsidRPr="00FB002F">
        <w:rPr>
          <w:rFonts w:eastAsia="Univers LT Pro 55" w:cstheme="minorHAnsi"/>
          <w:b/>
          <w:color w:val="231F20"/>
          <w:spacing w:val="-2"/>
        </w:rPr>
        <w:t xml:space="preserve"> </w:t>
      </w:r>
      <w:proofErr w:type="gramStart"/>
      <w:r w:rsidRPr="00FB002F">
        <w:rPr>
          <w:rFonts w:eastAsia="Univers LT Pro 55" w:cstheme="minorHAnsi"/>
          <w:b/>
          <w:color w:val="231F20"/>
        </w:rPr>
        <w:t>of</w:t>
      </w:r>
      <w:proofErr w:type="gramEnd"/>
      <w:r w:rsidRPr="00FB002F">
        <w:rPr>
          <w:rFonts w:eastAsia="Univers LT Pro 55" w:cstheme="minorHAnsi"/>
          <w:b/>
          <w:color w:val="231F20"/>
          <w:spacing w:val="-2"/>
        </w:rPr>
        <w:t xml:space="preserve"> </w:t>
      </w:r>
      <w:r w:rsidRPr="00FB002F">
        <w:rPr>
          <w:rFonts w:eastAsia="Univers LT Pro 55" w:cstheme="minorHAnsi"/>
          <w:b/>
          <w:color w:val="231F20"/>
        </w:rPr>
        <w:t xml:space="preserve">Deliverables: </w:t>
      </w:r>
      <w:r w:rsidR="00FB002F" w:rsidRPr="00FB002F">
        <w:rPr>
          <w:rFonts w:eastAsia="Univers LT Pro 55" w:cstheme="minorHAnsi"/>
          <w:b/>
          <w:color w:val="231F20"/>
        </w:rPr>
        <w:t>2</w:t>
      </w:r>
    </w:p>
    <w:p w14:paraId="6CCB32B2" w14:textId="5D11D43B" w:rsidR="00417867" w:rsidRPr="00FB002F" w:rsidRDefault="00417867" w:rsidP="00417867">
      <w:pPr>
        <w:widowControl w:val="0"/>
        <w:autoSpaceDE w:val="0"/>
        <w:autoSpaceDN w:val="0"/>
        <w:spacing w:before="39" w:after="0" w:line="240" w:lineRule="auto"/>
        <w:ind w:left="120"/>
        <w:outlineLvl w:val="2"/>
        <w:rPr>
          <w:rFonts w:eastAsia="Univers LT Pro 45 Light" w:cstheme="minorHAnsi"/>
          <w:b/>
          <w:bCs/>
        </w:rPr>
      </w:pPr>
      <w:r w:rsidRPr="00FB002F">
        <w:rPr>
          <w:rFonts w:eastAsia="Univers LT Pro 45 Light" w:cstheme="minorHAnsi"/>
          <w:b/>
          <w:bCs/>
          <w:color w:val="231F20"/>
        </w:rPr>
        <w:t>Use</w:t>
      </w:r>
      <w:r w:rsidRPr="00FB002F">
        <w:rPr>
          <w:rFonts w:eastAsia="Univers LT Pro 45 Light" w:cstheme="minorHAnsi"/>
          <w:b/>
          <w:bCs/>
          <w:color w:val="231F20"/>
          <w:spacing w:val="-2"/>
        </w:rPr>
        <w:t xml:space="preserve"> </w:t>
      </w:r>
      <w:r w:rsidRPr="00FB002F">
        <w:rPr>
          <w:rFonts w:eastAsia="Univers LT Pro 45 Light" w:cstheme="minorHAnsi"/>
          <w:b/>
          <w:bCs/>
          <w:color w:val="231F20"/>
        </w:rPr>
        <w:t>Budget</w:t>
      </w:r>
      <w:r w:rsidRPr="00FB002F">
        <w:rPr>
          <w:rFonts w:eastAsia="Univers LT Pro 45 Light" w:cstheme="minorHAnsi"/>
          <w:b/>
          <w:bCs/>
          <w:color w:val="231F20"/>
          <w:spacing w:val="-2"/>
        </w:rPr>
        <w:t xml:space="preserve"> </w:t>
      </w:r>
      <w:r w:rsidRPr="00FB002F">
        <w:rPr>
          <w:rFonts w:eastAsia="Univers LT Pro 45 Light" w:cstheme="minorHAnsi"/>
          <w:b/>
          <w:bCs/>
          <w:color w:val="231F20"/>
        </w:rPr>
        <w:t>Justification</w:t>
      </w:r>
      <w:r w:rsidRPr="00FB002F">
        <w:rPr>
          <w:rFonts w:eastAsia="Univers LT Pro 45 Light" w:cstheme="minorHAnsi"/>
          <w:b/>
          <w:bCs/>
          <w:color w:val="231F20"/>
          <w:spacing w:val="-2"/>
        </w:rPr>
        <w:t xml:space="preserve"> </w:t>
      </w:r>
      <w:r w:rsidRPr="00FB002F">
        <w:rPr>
          <w:rFonts w:eastAsia="Univers LT Pro 45 Light" w:cstheme="minorHAnsi"/>
          <w:b/>
          <w:bCs/>
          <w:color w:val="231F20"/>
        </w:rPr>
        <w:t>Scenario</w:t>
      </w:r>
      <w:r w:rsidRPr="00FB002F">
        <w:rPr>
          <w:rFonts w:eastAsia="Univers LT Pro 45 Light" w:cstheme="minorHAnsi"/>
          <w:b/>
          <w:bCs/>
          <w:color w:val="231F20"/>
          <w:spacing w:val="-2"/>
        </w:rPr>
        <w:t xml:space="preserve">: #1 if only applying for one county; #2 if applying for multiple counties (Appendix M) </w:t>
      </w:r>
    </w:p>
    <w:p w14:paraId="4A64D4EB" w14:textId="77777777" w:rsidR="00417867" w:rsidRPr="00FB002F" w:rsidRDefault="00417867" w:rsidP="00417867">
      <w:pPr>
        <w:widowControl w:val="0"/>
        <w:autoSpaceDE w:val="0"/>
        <w:autoSpaceDN w:val="0"/>
        <w:spacing w:before="10" w:after="0" w:line="240" w:lineRule="auto"/>
        <w:rPr>
          <w:rFonts w:eastAsia="Univers LT Pro 55" w:cstheme="minorHAnsi"/>
          <w:b/>
        </w:rPr>
      </w:pPr>
    </w:p>
    <w:p w14:paraId="194917C3" w14:textId="77777777" w:rsidR="00417867" w:rsidRPr="00FB002F" w:rsidRDefault="00417867" w:rsidP="00417867">
      <w:pPr>
        <w:widowControl w:val="0"/>
        <w:tabs>
          <w:tab w:val="left" w:pos="1109"/>
        </w:tabs>
        <w:autoSpaceDE w:val="0"/>
        <w:autoSpaceDN w:val="0"/>
        <w:spacing w:before="103" w:after="0" w:line="240" w:lineRule="auto"/>
        <w:ind w:left="120"/>
        <w:rPr>
          <w:rFonts w:eastAsia="Univers LT Pro 55" w:cstheme="minorHAnsi"/>
          <w:b/>
        </w:rPr>
      </w:pPr>
      <w:r w:rsidRPr="00FB002F">
        <w:rPr>
          <w:rFonts w:eastAsia="Univers LT Pro 55" w:cstheme="minorHAnsi"/>
          <w:b/>
          <w:color w:val="231F20"/>
          <w:u w:val="single" w:color="221E1F"/>
        </w:rPr>
        <w:t xml:space="preserve"> X</w:t>
      </w:r>
      <w:r w:rsidRPr="00FB002F">
        <w:rPr>
          <w:rFonts w:eastAsia="Univers LT Pro 55" w:cstheme="minorHAnsi"/>
          <w:b/>
          <w:color w:val="231F20"/>
          <w:u w:val="single" w:color="221E1F"/>
        </w:rPr>
        <w:tab/>
      </w:r>
      <w:r w:rsidRPr="00FB002F">
        <w:rPr>
          <w:rFonts w:eastAsia="Univers LT Pro 55" w:cstheme="minorHAnsi"/>
          <w:b/>
          <w:color w:val="231F20"/>
        </w:rPr>
        <w:t xml:space="preserve"> Deliverables</w:t>
      </w:r>
      <w:r w:rsidRPr="00FB002F">
        <w:rPr>
          <w:rFonts w:eastAsia="Univers LT Pro 55" w:cstheme="minorHAnsi"/>
          <w:b/>
          <w:color w:val="231F20"/>
          <w:spacing w:val="-13"/>
        </w:rPr>
        <w:t xml:space="preserve"> </w:t>
      </w:r>
      <w:r w:rsidRPr="00FB002F">
        <w:rPr>
          <w:rFonts w:eastAsia="Univers LT Pro 55" w:cstheme="minorHAnsi"/>
          <w:b/>
          <w:color w:val="231F20"/>
        </w:rPr>
        <w:t>Only</w:t>
      </w:r>
    </w:p>
    <w:p w14:paraId="242145E5" w14:textId="4C6AD6DB" w:rsidR="00417867" w:rsidRPr="00FB002F" w:rsidRDefault="00417867" w:rsidP="00417867">
      <w:pPr>
        <w:widowControl w:val="0"/>
        <w:autoSpaceDE w:val="0"/>
        <w:autoSpaceDN w:val="0"/>
        <w:spacing w:before="7" w:after="0" w:line="240" w:lineRule="auto"/>
        <w:rPr>
          <w:rFonts w:eastAsia="Univers LT Pro 55" w:cstheme="minorHAnsi"/>
          <w:b/>
        </w:rPr>
      </w:pPr>
    </w:p>
    <w:p w14:paraId="39C177B6" w14:textId="4E1A4706" w:rsidR="00FB002F" w:rsidRPr="00FB002F" w:rsidRDefault="00FB002F" w:rsidP="00417867">
      <w:pPr>
        <w:widowControl w:val="0"/>
        <w:autoSpaceDE w:val="0"/>
        <w:autoSpaceDN w:val="0"/>
        <w:spacing w:before="7" w:after="0" w:line="240" w:lineRule="auto"/>
        <w:rPr>
          <w:rFonts w:eastAsia="Univers LT Pro 55" w:cstheme="minorHAnsi"/>
          <w:b/>
        </w:rPr>
      </w:pPr>
    </w:p>
    <w:p w14:paraId="2E4DD152" w14:textId="77777777" w:rsidR="00FB002F" w:rsidRPr="00FB002F" w:rsidRDefault="00FB002F" w:rsidP="00FB002F">
      <w:pPr>
        <w:widowControl w:val="0"/>
        <w:spacing w:after="0" w:line="240" w:lineRule="auto"/>
        <w:rPr>
          <w:rFonts w:eastAsia="Times New Roman" w:cstheme="minorHAnsi"/>
          <w:b/>
          <w:i/>
          <w:iCs/>
          <w:snapToGrid w:val="0"/>
          <w:u w:val="single"/>
        </w:rPr>
      </w:pPr>
      <w:r w:rsidRPr="00FB002F">
        <w:rPr>
          <w:rFonts w:eastAsia="Times New Roman" w:cstheme="minorHAnsi"/>
          <w:b/>
          <w:i/>
          <w:iCs/>
          <w:snapToGrid w:val="0"/>
          <w:u w:val="single"/>
        </w:rPr>
        <w:t>Deliverable 1: To improve the overall reproductive health and well-being of women and men.</w:t>
      </w:r>
    </w:p>
    <w:p w14:paraId="61239D13" w14:textId="77777777" w:rsidR="00FB002F" w:rsidRPr="00FB002F" w:rsidRDefault="00FB002F" w:rsidP="00417867">
      <w:pPr>
        <w:widowControl w:val="0"/>
        <w:autoSpaceDE w:val="0"/>
        <w:autoSpaceDN w:val="0"/>
        <w:spacing w:before="7" w:after="0" w:line="240" w:lineRule="auto"/>
        <w:rPr>
          <w:rFonts w:eastAsia="Univers LT Pro 55" w:cstheme="minorHAnsi"/>
          <w:b/>
        </w:rPr>
      </w:pPr>
    </w:p>
    <w:p w14:paraId="2B83228E" w14:textId="7206929A" w:rsidR="00417867" w:rsidRPr="00FB002F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eastAsia="Univers LT Pro 55" w:cstheme="minorHAnsi"/>
          <w:color w:val="231F20"/>
        </w:rPr>
      </w:pPr>
      <w:r w:rsidRPr="00FB002F">
        <w:rPr>
          <w:rFonts w:eastAsia="Univers LT Pro 55" w:cstheme="minorHAnsi"/>
          <w:b/>
          <w:bCs/>
          <w:color w:val="231F20"/>
        </w:rPr>
        <w:t xml:space="preserve">Deliverable </w:t>
      </w:r>
      <w:r w:rsidR="00FB002F" w:rsidRPr="00FB002F">
        <w:rPr>
          <w:rFonts w:eastAsia="Univers LT Pro 55" w:cstheme="minorHAnsi"/>
          <w:b/>
          <w:bCs/>
          <w:color w:val="231F20"/>
        </w:rPr>
        <w:t xml:space="preserve">1 </w:t>
      </w:r>
      <w:r w:rsidRPr="00FB002F">
        <w:rPr>
          <w:rFonts w:eastAsia="Univers LT Pro 55" w:cstheme="minorHAnsi"/>
          <w:b/>
          <w:bCs/>
          <w:color w:val="231F20"/>
        </w:rPr>
        <w:t>– Objective 1</w:t>
      </w:r>
      <w:r w:rsidRPr="00FB002F">
        <w:rPr>
          <w:rFonts w:eastAsia="Univers LT Pro 55" w:cstheme="minorHAnsi"/>
          <w:color w:val="231F20"/>
        </w:rPr>
        <w:t>: By March 31, 202</w:t>
      </w:r>
      <w:r w:rsidR="00853045" w:rsidRPr="00FB002F">
        <w:rPr>
          <w:rFonts w:eastAsia="Univers LT Pro 55" w:cstheme="minorHAnsi"/>
          <w:color w:val="231F20"/>
        </w:rPr>
        <w:t>4</w:t>
      </w:r>
      <w:r w:rsidRPr="00FB002F">
        <w:rPr>
          <w:rFonts w:eastAsia="Univers LT Pro 55" w:cstheme="minorHAnsi"/>
          <w:color w:val="231F20"/>
        </w:rPr>
        <w:t xml:space="preserve">, 100% of clients will have received comprehensive reproductive health and wellness direct health care services per nationally recognized standards of care. </w:t>
      </w:r>
    </w:p>
    <w:p w14:paraId="60D17C8C" w14:textId="6EB6EB1D" w:rsidR="00417867" w:rsidRPr="00FB002F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119"/>
        <w:rPr>
          <w:rFonts w:eastAsia="Univers LT Pro 55" w:cstheme="minorHAnsi"/>
          <w:color w:val="231F20"/>
        </w:rPr>
      </w:pPr>
    </w:p>
    <w:p w14:paraId="5FA3F454" w14:textId="53D290C8" w:rsidR="00417867" w:rsidRPr="00FB002F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eastAsia="Univers LT Pro 55" w:cstheme="minorHAnsi"/>
          <w:color w:val="231F20"/>
        </w:rPr>
      </w:pPr>
      <w:r w:rsidRPr="00FB002F">
        <w:rPr>
          <w:rFonts w:eastAsia="Univers LT Pro 55" w:cstheme="minorHAnsi"/>
          <w:b/>
          <w:bCs/>
          <w:color w:val="231F20"/>
        </w:rPr>
        <w:t xml:space="preserve">Deliverable </w:t>
      </w:r>
      <w:r w:rsidR="00FB002F" w:rsidRPr="00FB002F">
        <w:rPr>
          <w:rFonts w:eastAsia="Univers LT Pro 55" w:cstheme="minorHAnsi"/>
          <w:b/>
          <w:bCs/>
          <w:color w:val="231F20"/>
        </w:rPr>
        <w:t xml:space="preserve">1 </w:t>
      </w:r>
      <w:r w:rsidRPr="00FB002F">
        <w:rPr>
          <w:rFonts w:eastAsia="Univers LT Pro 55" w:cstheme="minorHAnsi"/>
          <w:b/>
          <w:bCs/>
          <w:color w:val="231F20"/>
        </w:rPr>
        <w:t>– Objective 2</w:t>
      </w:r>
      <w:r w:rsidRPr="00FB002F">
        <w:rPr>
          <w:rFonts w:eastAsia="Univers LT Pro 55" w:cstheme="minorHAnsi"/>
          <w:color w:val="231F20"/>
        </w:rPr>
        <w:t xml:space="preserve">: </w:t>
      </w:r>
      <w:r w:rsidR="00FB002F" w:rsidRPr="00FB002F">
        <w:rPr>
          <w:rFonts w:cstheme="minorHAnsi"/>
        </w:rPr>
        <w:t>By March 31, 2024, 100% of subrecipients will conduct a systematic and coordinated approach in quality improvement to enhance outcomes for patients.</w:t>
      </w:r>
      <w:r w:rsidRPr="00FB002F">
        <w:rPr>
          <w:rFonts w:eastAsia="Univers LT Pro 55" w:cstheme="minorHAnsi"/>
          <w:color w:val="231F20"/>
        </w:rPr>
        <w:t xml:space="preserve"> </w:t>
      </w:r>
    </w:p>
    <w:p w14:paraId="50093108" w14:textId="0BAADAB9" w:rsidR="00FB002F" w:rsidRPr="00FB002F" w:rsidRDefault="00FB002F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eastAsia="Univers LT Pro 55" w:cstheme="minorHAnsi"/>
          <w:i/>
          <w:iCs/>
          <w:color w:val="231F20"/>
        </w:rPr>
      </w:pPr>
    </w:p>
    <w:p w14:paraId="39F6DC81" w14:textId="77777777" w:rsidR="00FB002F" w:rsidRPr="00FB002F" w:rsidRDefault="00FB002F" w:rsidP="00FB002F">
      <w:pPr>
        <w:widowControl w:val="0"/>
        <w:spacing w:after="0" w:line="240" w:lineRule="auto"/>
        <w:rPr>
          <w:rFonts w:eastAsia="Times New Roman" w:cstheme="minorHAnsi"/>
          <w:b/>
          <w:i/>
          <w:iCs/>
          <w:snapToGrid w:val="0"/>
          <w:u w:val="single"/>
        </w:rPr>
      </w:pPr>
      <w:r w:rsidRPr="00FB002F">
        <w:rPr>
          <w:rFonts w:eastAsia="Times New Roman" w:cstheme="minorHAnsi"/>
          <w:b/>
          <w:i/>
          <w:iCs/>
          <w:snapToGrid w:val="0"/>
          <w:u w:val="single"/>
        </w:rPr>
        <w:t>Deliverable 2: To support infrastructure and increase sustainability of Reproductive Health and Wellness services.</w:t>
      </w:r>
    </w:p>
    <w:p w14:paraId="4E76147C" w14:textId="77777777" w:rsidR="00FB002F" w:rsidRPr="00FB002F" w:rsidRDefault="00FB002F" w:rsidP="00FB002F">
      <w:pPr>
        <w:widowControl w:val="0"/>
        <w:spacing w:after="0" w:line="240" w:lineRule="auto"/>
        <w:rPr>
          <w:rFonts w:eastAsia="Times New Roman" w:cstheme="minorHAnsi"/>
          <w:b/>
          <w:snapToGrid w:val="0"/>
          <w:u w:val="single"/>
        </w:rPr>
      </w:pPr>
    </w:p>
    <w:p w14:paraId="338F8C39" w14:textId="13C8D98F" w:rsidR="00417867" w:rsidRPr="00FB002F" w:rsidRDefault="00417867" w:rsidP="00FB002F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eastAsia="Univers LT Pro 55" w:cstheme="minorHAnsi"/>
          <w:color w:val="231F20"/>
        </w:rPr>
      </w:pPr>
      <w:r w:rsidRPr="00FB002F">
        <w:rPr>
          <w:rFonts w:eastAsia="Univers LT Pro 55" w:cstheme="minorHAnsi"/>
          <w:b/>
          <w:bCs/>
          <w:color w:val="231F20"/>
        </w:rPr>
        <w:t xml:space="preserve">Deliverable </w:t>
      </w:r>
      <w:r w:rsidR="00FB002F" w:rsidRPr="00FB002F">
        <w:rPr>
          <w:rFonts w:eastAsia="Univers LT Pro 55" w:cstheme="minorHAnsi"/>
          <w:b/>
          <w:bCs/>
          <w:color w:val="231F20"/>
        </w:rPr>
        <w:t xml:space="preserve">2 </w:t>
      </w:r>
      <w:r w:rsidRPr="00FB002F">
        <w:rPr>
          <w:rFonts w:eastAsia="Univers LT Pro 55" w:cstheme="minorHAnsi"/>
          <w:b/>
          <w:bCs/>
          <w:color w:val="231F20"/>
        </w:rPr>
        <w:t xml:space="preserve">– Objective </w:t>
      </w:r>
      <w:r w:rsidR="00FB002F" w:rsidRPr="00FB002F">
        <w:rPr>
          <w:rFonts w:eastAsia="Univers LT Pro 55" w:cstheme="minorHAnsi"/>
          <w:b/>
          <w:bCs/>
          <w:color w:val="231F20"/>
        </w:rPr>
        <w:t>1</w:t>
      </w:r>
      <w:r w:rsidRPr="00FB002F">
        <w:rPr>
          <w:rFonts w:eastAsia="Univers LT Pro 55" w:cstheme="minorHAnsi"/>
          <w:color w:val="231F20"/>
        </w:rPr>
        <w:t xml:space="preserve">: </w:t>
      </w:r>
      <w:r w:rsidR="00FB002F" w:rsidRPr="00FB002F">
        <w:rPr>
          <w:rFonts w:cstheme="minorHAnsi"/>
          <w:b/>
        </w:rPr>
        <w:t xml:space="preserve">:  </w:t>
      </w:r>
      <w:r w:rsidR="00FB002F" w:rsidRPr="00FB002F">
        <w:rPr>
          <w:rFonts w:cstheme="minorHAnsi"/>
        </w:rPr>
        <w:t>By March 31, 2024, 100% of subrecipients will have implemented and maintain appropriate financial and billing procedures.</w:t>
      </w:r>
    </w:p>
    <w:p w14:paraId="250330AA" w14:textId="77777777" w:rsidR="00417867" w:rsidRPr="00FB002F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119"/>
        <w:rPr>
          <w:rFonts w:eastAsia="Univers LT Pro 55" w:cstheme="minorHAnsi"/>
          <w:color w:val="231F20"/>
        </w:rPr>
      </w:pPr>
    </w:p>
    <w:p w14:paraId="066EA7F4" w14:textId="1F05A815" w:rsidR="00417867" w:rsidRPr="00FB002F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eastAsia="Univers LT Pro 55" w:cstheme="minorHAnsi"/>
          <w:color w:val="231F20"/>
        </w:rPr>
      </w:pPr>
      <w:r w:rsidRPr="00FB002F">
        <w:rPr>
          <w:rFonts w:eastAsia="Univers LT Pro 55" w:cstheme="minorHAnsi"/>
          <w:b/>
        </w:rPr>
        <w:t xml:space="preserve">Deliverable </w:t>
      </w:r>
      <w:r w:rsidR="00FB002F" w:rsidRPr="00FB002F">
        <w:rPr>
          <w:rFonts w:eastAsia="Univers LT Pro 55" w:cstheme="minorHAnsi"/>
          <w:b/>
        </w:rPr>
        <w:t xml:space="preserve">2 </w:t>
      </w:r>
      <w:r w:rsidRPr="00FB002F">
        <w:rPr>
          <w:rFonts w:eastAsia="Univers LT Pro 55" w:cstheme="minorHAnsi"/>
          <w:b/>
        </w:rPr>
        <w:t xml:space="preserve">– Objective </w:t>
      </w:r>
      <w:r w:rsidR="00FB002F" w:rsidRPr="00FB002F">
        <w:rPr>
          <w:rFonts w:eastAsia="Univers LT Pro 55" w:cstheme="minorHAnsi"/>
          <w:b/>
        </w:rPr>
        <w:t>2</w:t>
      </w:r>
      <w:r w:rsidRPr="00FB002F">
        <w:rPr>
          <w:rFonts w:eastAsia="Univers LT Pro 55" w:cstheme="minorHAnsi"/>
          <w:bCs/>
        </w:rPr>
        <w:t xml:space="preserve">: </w:t>
      </w:r>
      <w:r w:rsidR="00FB002F" w:rsidRPr="00FB002F">
        <w:rPr>
          <w:rFonts w:cstheme="minorHAnsi"/>
        </w:rPr>
        <w:t>By March 31, 2022, 100% of subrecipients will have implemented and utilize an electronic medical record (EMR) system.</w:t>
      </w:r>
    </w:p>
    <w:p w14:paraId="5E2DE5F9" w14:textId="77777777" w:rsidR="00417867" w:rsidRPr="00FB002F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720"/>
        <w:rPr>
          <w:rFonts w:eastAsia="Univers LT Pro 55" w:cstheme="minorHAnsi"/>
          <w:color w:val="231F20"/>
        </w:rPr>
      </w:pPr>
    </w:p>
    <w:p w14:paraId="21DC735A" w14:textId="21964345" w:rsidR="00417867" w:rsidRPr="00FB002F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rPr>
          <w:rFonts w:eastAsia="Univers LT Pro 55" w:cstheme="minorHAnsi"/>
          <w:bCs/>
          <w:color w:val="231F20"/>
        </w:rPr>
      </w:pPr>
      <w:r w:rsidRPr="00FB002F">
        <w:rPr>
          <w:rFonts w:eastAsia="Univers LT Pro 55" w:cstheme="minorHAnsi"/>
          <w:b/>
          <w:color w:val="231F20"/>
        </w:rPr>
        <w:t xml:space="preserve">Deliverable </w:t>
      </w:r>
      <w:r w:rsidR="00FB002F" w:rsidRPr="00FB002F">
        <w:rPr>
          <w:rFonts w:eastAsia="Univers LT Pro 55" w:cstheme="minorHAnsi"/>
          <w:b/>
          <w:color w:val="231F20"/>
        </w:rPr>
        <w:t xml:space="preserve">2 </w:t>
      </w:r>
      <w:r w:rsidRPr="00FB002F">
        <w:rPr>
          <w:rFonts w:eastAsia="Univers LT Pro 55" w:cstheme="minorHAnsi"/>
          <w:b/>
          <w:color w:val="231F20"/>
        </w:rPr>
        <w:t xml:space="preserve">– Objective </w:t>
      </w:r>
      <w:r w:rsidR="00FB002F" w:rsidRPr="00FB002F">
        <w:rPr>
          <w:rFonts w:eastAsia="Univers LT Pro 55" w:cstheme="minorHAnsi"/>
          <w:b/>
          <w:color w:val="231F20"/>
        </w:rPr>
        <w:t>3</w:t>
      </w:r>
      <w:r w:rsidRPr="00FB002F">
        <w:rPr>
          <w:rFonts w:eastAsia="Univers LT Pro 55" w:cstheme="minorHAnsi"/>
          <w:bCs/>
          <w:color w:val="231F20"/>
        </w:rPr>
        <w:t xml:space="preserve">:  </w:t>
      </w:r>
      <w:r w:rsidR="00FB002F" w:rsidRPr="00FB002F">
        <w:rPr>
          <w:rFonts w:cstheme="minorHAnsi"/>
        </w:rPr>
        <w:t>By March 31, 2022, 100% of subrecipients will serve hard to reach and vulnerable populations utilizing various clinical service delivery modalities to increase access and remove barriers to care.</w:t>
      </w:r>
    </w:p>
    <w:p w14:paraId="2141FAC5" w14:textId="77777777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720"/>
        <w:rPr>
          <w:rFonts w:ascii="Univers LT Pro 45 Light" w:eastAsia="Univers LT Pro 55" w:hAnsi="Univers LT Pro 55" w:cs="Univers LT Pro 55"/>
          <w:bCs/>
          <w:color w:val="231F20"/>
        </w:rPr>
      </w:pPr>
    </w:p>
    <w:p w14:paraId="2B4D0F34" w14:textId="22814446" w:rsidR="00417867" w:rsidRPr="00417867" w:rsidRDefault="00417867" w:rsidP="00417867">
      <w:pPr>
        <w:widowControl w:val="0"/>
        <w:tabs>
          <w:tab w:val="left" w:pos="479"/>
          <w:tab w:val="left" w:pos="480"/>
        </w:tabs>
        <w:autoSpaceDE w:val="0"/>
        <w:autoSpaceDN w:val="0"/>
        <w:spacing w:before="1" w:after="0" w:line="240" w:lineRule="auto"/>
        <w:ind w:left="119"/>
        <w:rPr>
          <w:rFonts w:ascii="Univers LT Pro 45 Light" w:eastAsia="Univers LT Pro 55" w:hAnsi="Univers LT Pro 55" w:cs="Univers LT Pro 55"/>
          <w:color w:val="231F20"/>
        </w:rPr>
      </w:pPr>
    </w:p>
    <w:p w14:paraId="6C0A0214" w14:textId="698939F0" w:rsidR="00417867" w:rsidRDefault="00417867"/>
    <w:p w14:paraId="5080A067" w14:textId="71965EB0" w:rsidR="00B95F7C" w:rsidRPr="00B95F7C" w:rsidRDefault="00B95F7C" w:rsidP="00B95F7C"/>
    <w:p w14:paraId="30BB8CE2" w14:textId="26189930" w:rsidR="00B95F7C" w:rsidRPr="00B95F7C" w:rsidRDefault="00B95F7C" w:rsidP="00B95F7C"/>
    <w:p w14:paraId="18B98D2C" w14:textId="77777777" w:rsidR="00B95F7C" w:rsidRPr="00B95F7C" w:rsidRDefault="00B95F7C" w:rsidP="00B95F7C">
      <w:pPr>
        <w:jc w:val="center"/>
      </w:pPr>
    </w:p>
    <w:sectPr w:rsidR="00B95F7C" w:rsidRPr="00B95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80" w:right="600" w:bottom="820" w:left="600" w:header="0" w:footer="6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9EB39" w14:textId="77777777" w:rsidR="00417867" w:rsidRDefault="00417867" w:rsidP="00417867">
      <w:pPr>
        <w:spacing w:after="0" w:line="240" w:lineRule="auto"/>
      </w:pPr>
      <w:r>
        <w:separator/>
      </w:r>
    </w:p>
  </w:endnote>
  <w:endnote w:type="continuationSeparator" w:id="0">
    <w:p w14:paraId="0559B7CF" w14:textId="77777777" w:rsidR="00417867" w:rsidRDefault="00417867" w:rsidP="00417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rifaMed">
    <w:altName w:val="Calibri"/>
    <w:charset w:val="00"/>
    <w:family w:val="modern"/>
    <w:pitch w:val="variable"/>
  </w:font>
  <w:font w:name="Univers LT Pro 55">
    <w:altName w:val="Calibri"/>
    <w:charset w:val="00"/>
    <w:family w:val="swiss"/>
    <w:pitch w:val="variable"/>
  </w:font>
  <w:font w:name="Univers LT Pro 45 Light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3292" w14:textId="77777777" w:rsidR="00B95F7C" w:rsidRDefault="00B95F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314A" w14:textId="198464CD" w:rsidR="00417867" w:rsidRDefault="00417867">
    <w:pPr>
      <w:pStyle w:val="Footer"/>
    </w:pPr>
    <w:r>
      <w:tab/>
      <w:t xml:space="preserve">           Appendix </w:t>
    </w:r>
    <w:r w:rsidR="00B95F7C">
      <w:t>B</w:t>
    </w:r>
    <w:r>
      <w:t>1</w:t>
    </w:r>
  </w:p>
  <w:p w14:paraId="7BB6C0D7" w14:textId="3E60815A" w:rsidR="008E268F" w:rsidRDefault="00FB002F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05260" w14:textId="77777777" w:rsidR="00B95F7C" w:rsidRDefault="00B95F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D452" w14:textId="77777777" w:rsidR="00417867" w:rsidRDefault="00417867" w:rsidP="00417867">
      <w:pPr>
        <w:spacing w:after="0" w:line="240" w:lineRule="auto"/>
      </w:pPr>
      <w:r>
        <w:separator/>
      </w:r>
    </w:p>
  </w:footnote>
  <w:footnote w:type="continuationSeparator" w:id="0">
    <w:p w14:paraId="64A34C82" w14:textId="77777777" w:rsidR="00417867" w:rsidRDefault="00417867" w:rsidP="00417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5580" w14:textId="77777777" w:rsidR="00B95F7C" w:rsidRDefault="00B95F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72DA" w14:textId="64BC4278" w:rsidR="008E268F" w:rsidRDefault="00FB002F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F7CB" w14:textId="77777777" w:rsidR="00B95F7C" w:rsidRDefault="00B95F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67"/>
    <w:rsid w:val="001938F7"/>
    <w:rsid w:val="00417867"/>
    <w:rsid w:val="00853045"/>
    <w:rsid w:val="00B7009A"/>
    <w:rsid w:val="00B95F7C"/>
    <w:rsid w:val="00FB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4F0BA8"/>
  <w15:chartTrackingRefBased/>
  <w15:docId w15:val="{A04CF5FB-7485-4D38-8D9F-FB748AE7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178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7867"/>
  </w:style>
  <w:style w:type="paragraph" w:styleId="Header">
    <w:name w:val="header"/>
    <w:basedOn w:val="Normal"/>
    <w:link w:val="HeaderChar"/>
    <w:uiPriority w:val="99"/>
    <w:unhideWhenUsed/>
    <w:rsid w:val="00417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867"/>
  </w:style>
  <w:style w:type="paragraph" w:styleId="Footer">
    <w:name w:val="footer"/>
    <w:basedOn w:val="Normal"/>
    <w:link w:val="FooterChar"/>
    <w:uiPriority w:val="99"/>
    <w:unhideWhenUsed/>
    <w:rsid w:val="00417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Michelle</dc:creator>
  <cp:keywords/>
  <dc:description/>
  <cp:lastModifiedBy>Clark, Michelle</cp:lastModifiedBy>
  <cp:revision>6</cp:revision>
  <dcterms:created xsi:type="dcterms:W3CDTF">2021-09-28T13:47:00Z</dcterms:created>
  <dcterms:modified xsi:type="dcterms:W3CDTF">2022-10-06T18:15:00Z</dcterms:modified>
</cp:coreProperties>
</file>